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1313" w14:textId="584789E9" w:rsidR="0032681D" w:rsidRDefault="00AF5162" w:rsidP="0032681D">
      <w:pPr>
        <w:pBdr>
          <w:bottom w:val="single" w:sz="12" w:space="1" w:color="auto"/>
        </w:pBdr>
        <w:jc w:val="both"/>
      </w:pPr>
      <w:r w:rsidRPr="000D44B2">
        <w:t xml:space="preserve">The Planning Board has proposed </w:t>
      </w:r>
      <w:r w:rsidR="00525E3F" w:rsidRPr="000D44B2">
        <w:t>7</w:t>
      </w:r>
      <w:r w:rsidRPr="000D44B2">
        <w:t xml:space="preserve"> zoning</w:t>
      </w:r>
      <w:r w:rsidR="00525E3F" w:rsidRPr="000D44B2">
        <w:t xml:space="preserve"> ordinance changes</w:t>
      </w:r>
      <w:r w:rsidRPr="000D44B2">
        <w:t xml:space="preserve">. The following explanations are provided to </w:t>
      </w:r>
      <w:r w:rsidR="00843D00" w:rsidRPr="000D44B2">
        <w:t>you to further explain what each change will do.</w:t>
      </w:r>
    </w:p>
    <w:p w14:paraId="4E639537" w14:textId="77777777" w:rsidR="00EE1464" w:rsidRDefault="0057610A" w:rsidP="00EE1464">
      <w:pPr>
        <w:spacing w:after="80"/>
        <w:jc w:val="both"/>
      </w:pPr>
      <w:r w:rsidRPr="0032681D">
        <w:rPr>
          <w:b/>
          <w:bCs/>
        </w:rPr>
        <w:t>Article 2</w:t>
      </w:r>
      <w:r w:rsidR="00AF5162" w:rsidRPr="0032681D">
        <w:rPr>
          <w:b/>
          <w:bCs/>
        </w:rPr>
        <w:t xml:space="preserve"> – Accessory Dwelling Units</w:t>
      </w:r>
      <w:r w:rsidR="00AF5162" w:rsidRPr="000D44B2">
        <w:t xml:space="preserve"> (ADUs) </w:t>
      </w:r>
    </w:p>
    <w:p w14:paraId="63E7FDAD" w14:textId="7C9DD78F" w:rsidR="00C1601C" w:rsidRPr="000D44B2" w:rsidRDefault="00C1601C" w:rsidP="00EE1464">
      <w:pPr>
        <w:spacing w:after="80"/>
        <w:jc w:val="both"/>
      </w:pPr>
      <w:r w:rsidRPr="000D44B2">
        <w:t>These are also known as in-law apartments</w:t>
      </w:r>
      <w:r w:rsidR="003A7922" w:rsidRPr="000D44B2">
        <w:t xml:space="preserve"> or granny flats.</w:t>
      </w:r>
    </w:p>
    <w:p w14:paraId="4EFD6CCC" w14:textId="77777777" w:rsidR="00F76F1C" w:rsidRDefault="00EE08D9" w:rsidP="0032681D">
      <w:pPr>
        <w:pStyle w:val="ListParagraph"/>
        <w:numPr>
          <w:ilvl w:val="0"/>
          <w:numId w:val="3"/>
        </w:numPr>
        <w:jc w:val="both"/>
      </w:pPr>
      <w:r w:rsidRPr="000D44B2">
        <w:t xml:space="preserve">If you have a single-family house, you can add one ADU </w:t>
      </w:r>
      <w:r w:rsidR="00763C74" w:rsidRPr="000D44B2">
        <w:t>with an approved building permit and it can be</w:t>
      </w:r>
      <w:r w:rsidR="00E01552" w:rsidRPr="00E01552">
        <w:t xml:space="preserve"> attached to or </w:t>
      </w:r>
      <w:r w:rsidR="008B3D6B" w:rsidRPr="000D44B2">
        <w:t>separate</w:t>
      </w:r>
      <w:r w:rsidR="00E01552" w:rsidRPr="00E01552">
        <w:t xml:space="preserve"> from the</w:t>
      </w:r>
      <w:r w:rsidR="008B3D6B" w:rsidRPr="000D44B2">
        <w:t xml:space="preserve"> main</w:t>
      </w:r>
      <w:r w:rsidR="00763C74" w:rsidRPr="000D44B2">
        <w:t xml:space="preserve"> house.</w:t>
      </w:r>
    </w:p>
    <w:p w14:paraId="5D25ABB3" w14:textId="77777777" w:rsidR="00F76F1C" w:rsidRDefault="00E01552" w:rsidP="0032681D">
      <w:pPr>
        <w:pStyle w:val="ListParagraph"/>
        <w:numPr>
          <w:ilvl w:val="0"/>
          <w:numId w:val="3"/>
        </w:numPr>
        <w:jc w:val="both"/>
      </w:pPr>
      <w:r w:rsidRPr="00E01552">
        <w:t xml:space="preserve">The gross floor area of the </w:t>
      </w:r>
      <w:proofErr w:type="gramStart"/>
      <w:r w:rsidRPr="00E01552">
        <w:t>ADU</w:t>
      </w:r>
      <w:proofErr w:type="gramEnd"/>
      <w:r w:rsidRPr="00E01552">
        <w:t xml:space="preserve"> which is defined as the total horizontal area of all floors of the building (footprint) may not exceed 1,000 square feet, and the living space may not exceed 950 square feet. For example, an ADU could include 950 square feet of living space with a small porch.</w:t>
      </w:r>
    </w:p>
    <w:p w14:paraId="6BAD57F9" w14:textId="77777777" w:rsidR="00F76F1C" w:rsidRDefault="00E01552" w:rsidP="0032681D">
      <w:pPr>
        <w:pStyle w:val="ListParagraph"/>
        <w:numPr>
          <w:ilvl w:val="0"/>
          <w:numId w:val="3"/>
        </w:numPr>
        <w:jc w:val="both"/>
      </w:pPr>
      <w:r w:rsidRPr="00E01552">
        <w:t xml:space="preserve">Neither the primary dwelling </w:t>
      </w:r>
      <w:proofErr w:type="gramStart"/>
      <w:r w:rsidRPr="00E01552">
        <w:t>or</w:t>
      </w:r>
      <w:proofErr w:type="gramEnd"/>
      <w:r w:rsidRPr="00E01552">
        <w:t xml:space="preserve"> the ADU can be sold separately.</w:t>
      </w:r>
    </w:p>
    <w:p w14:paraId="51BCD046" w14:textId="77777777" w:rsidR="00F76F1C" w:rsidRDefault="00E01552" w:rsidP="0032681D">
      <w:pPr>
        <w:pStyle w:val="ListParagraph"/>
        <w:numPr>
          <w:ilvl w:val="0"/>
          <w:numId w:val="3"/>
        </w:numPr>
        <w:jc w:val="both"/>
      </w:pPr>
      <w:r w:rsidRPr="00E01552">
        <w:t>If the property is served by an on-site sewage disposal system (septic system), the property owner must demonstrate that adequate water supply and wastewater disposal capacity exists before a building permit for the ADU can be issued.</w:t>
      </w:r>
    </w:p>
    <w:p w14:paraId="25524561" w14:textId="77777777" w:rsidR="00F76F1C" w:rsidRDefault="00E01552" w:rsidP="0032681D">
      <w:pPr>
        <w:pStyle w:val="ListParagraph"/>
        <w:numPr>
          <w:ilvl w:val="1"/>
          <w:numId w:val="3"/>
        </w:numPr>
        <w:jc w:val="both"/>
      </w:pPr>
      <w:r w:rsidRPr="00E01552">
        <w:t>The New Hampshire Department of Environmental Services (DES) regulates septic systems. Property owners must submit a request to DES to determine whether the existing system can accommodate the additional load. If the current system is insufficient, a supplemental or replacement system may be required.</w:t>
      </w:r>
    </w:p>
    <w:p w14:paraId="660286A8" w14:textId="77777777" w:rsidR="00F76F1C" w:rsidRDefault="00E01552" w:rsidP="0032681D">
      <w:pPr>
        <w:pStyle w:val="ListParagraph"/>
        <w:numPr>
          <w:ilvl w:val="0"/>
          <w:numId w:val="3"/>
        </w:numPr>
        <w:jc w:val="both"/>
      </w:pPr>
      <w:r w:rsidRPr="00E01552">
        <w:t>An ADU cannot be constructed on land that is rented or leased.</w:t>
      </w:r>
    </w:p>
    <w:p w14:paraId="29CF75FF" w14:textId="2DDC520E" w:rsidR="00F76F1C" w:rsidRDefault="00E01552" w:rsidP="0032681D">
      <w:pPr>
        <w:pStyle w:val="ListParagraph"/>
        <w:numPr>
          <w:ilvl w:val="1"/>
          <w:numId w:val="3"/>
        </w:numPr>
        <w:jc w:val="both"/>
      </w:pPr>
      <w:r w:rsidRPr="00E01552">
        <w:t xml:space="preserve">For example: </w:t>
      </w:r>
      <w:r w:rsidR="00475E5C">
        <w:t>A condo</w:t>
      </w:r>
      <w:r w:rsidRPr="00E01552">
        <w:t xml:space="preserve"> owner cannot divide a condominium unit into two separate dwelling units and rent out one portion as an ADU.</w:t>
      </w:r>
    </w:p>
    <w:p w14:paraId="5443D44A" w14:textId="77777777" w:rsidR="00F76F1C" w:rsidRDefault="00E01552" w:rsidP="0032681D">
      <w:pPr>
        <w:pStyle w:val="ListParagraph"/>
        <w:numPr>
          <w:ilvl w:val="0"/>
          <w:numId w:val="3"/>
        </w:numPr>
        <w:jc w:val="both"/>
      </w:pPr>
      <w:r w:rsidRPr="00E01552">
        <w:t>An ADU is allowed to have a separate electrical service and panel, but it's not required.</w:t>
      </w:r>
    </w:p>
    <w:p w14:paraId="2571A19F" w14:textId="5AA703A6" w:rsidR="0032681D" w:rsidRPr="0032681D" w:rsidRDefault="00E01552" w:rsidP="0032681D">
      <w:pPr>
        <w:pStyle w:val="ListParagraph"/>
        <w:numPr>
          <w:ilvl w:val="0"/>
          <w:numId w:val="3"/>
        </w:numPr>
        <w:jc w:val="both"/>
      </w:pPr>
      <w:r w:rsidRPr="00E01552">
        <w:t>All ADUs must be constructed in compliance with the applicable building code.</w:t>
      </w:r>
    </w:p>
    <w:p w14:paraId="0A2A57FB" w14:textId="77777777" w:rsidR="00EE1464" w:rsidRDefault="0057610A" w:rsidP="00EE1464">
      <w:pPr>
        <w:spacing w:after="80"/>
        <w:jc w:val="both"/>
      </w:pPr>
      <w:r w:rsidRPr="0032681D">
        <w:rPr>
          <w:b/>
          <w:bCs/>
        </w:rPr>
        <w:t>Article 3</w:t>
      </w:r>
      <w:r w:rsidR="00AF5162" w:rsidRPr="0032681D">
        <w:rPr>
          <w:b/>
          <w:bCs/>
        </w:rPr>
        <w:t xml:space="preserve"> – ADU Maximum Size</w:t>
      </w:r>
    </w:p>
    <w:p w14:paraId="3F8E401F" w14:textId="157DFD32" w:rsidR="0040004E" w:rsidRPr="000D44B2" w:rsidRDefault="007528EF" w:rsidP="0032681D">
      <w:pPr>
        <w:jc w:val="both"/>
      </w:pPr>
      <w:r w:rsidRPr="007528EF">
        <w:t>An Accessory Dwelling Unit (ADU) can have up to 950 square feet of living space. Living space means the finished areas used for everyday living, such as bedrooms, kitchens, living rooms, and bathrooms. It does not include spaces like porches or decks.</w:t>
      </w:r>
      <w:r w:rsidR="00D660F2" w:rsidRPr="000D44B2">
        <w:t xml:space="preserve"> </w:t>
      </w:r>
    </w:p>
    <w:p w14:paraId="30A0F55C" w14:textId="4C2EEEDC" w:rsidR="007528EF" w:rsidRPr="007528EF" w:rsidRDefault="007528EF" w:rsidP="0032681D">
      <w:pPr>
        <w:jc w:val="both"/>
      </w:pPr>
      <w:r w:rsidRPr="007528EF">
        <w:t>The total size of the ADU, including features such as porches or decks, cannot exceed 1,000 square feet.</w:t>
      </w:r>
    </w:p>
    <w:p w14:paraId="5C9AA84D" w14:textId="77777777" w:rsidR="00333FFF" w:rsidRPr="000D44B2" w:rsidRDefault="007528EF" w:rsidP="0032681D">
      <w:pPr>
        <w:jc w:val="both"/>
      </w:pPr>
      <w:r w:rsidRPr="007528EF">
        <w:t xml:space="preserve">One additional parking space is required for the </w:t>
      </w:r>
      <w:proofErr w:type="gramStart"/>
      <w:r w:rsidRPr="007528EF">
        <w:t>ADU</w:t>
      </w:r>
      <w:proofErr w:type="gramEnd"/>
      <w:r w:rsidRPr="007528EF">
        <w:t xml:space="preserve"> so the occupant has a place to park on the property and does not need to park on the street.</w:t>
      </w:r>
      <w:r w:rsidR="00216826" w:rsidRPr="000D44B2">
        <w:t xml:space="preserve"> </w:t>
      </w:r>
    </w:p>
    <w:p w14:paraId="77A38650" w14:textId="5ACAE002" w:rsidR="00AF5162" w:rsidRPr="000D44B2" w:rsidRDefault="0057610A" w:rsidP="0064395A">
      <w:pPr>
        <w:spacing w:after="80"/>
        <w:jc w:val="both"/>
      </w:pPr>
      <w:r w:rsidRPr="0032681D">
        <w:rPr>
          <w:b/>
          <w:bCs/>
        </w:rPr>
        <w:t>Article 4</w:t>
      </w:r>
      <w:r w:rsidR="00AF5162" w:rsidRPr="0032681D">
        <w:rPr>
          <w:b/>
          <w:bCs/>
        </w:rPr>
        <w:t xml:space="preserve"> – Sign Regulations</w:t>
      </w:r>
      <w:r w:rsidR="00AF5162" w:rsidRPr="000D44B2">
        <w:t xml:space="preserve"> (Approval Authority Clarification)</w:t>
      </w:r>
    </w:p>
    <w:p w14:paraId="093B39D2" w14:textId="340EFAFD" w:rsidR="0040004E" w:rsidRPr="000D44B2" w:rsidRDefault="0045517C" w:rsidP="0032681D">
      <w:pPr>
        <w:jc w:val="both"/>
      </w:pPr>
      <w:r w:rsidRPr="000D44B2">
        <w:t>This amendment clarifies that the Planning Board reviews signs and reorganizes the sign section to make the rules clearer and easier to understand.</w:t>
      </w:r>
    </w:p>
    <w:p w14:paraId="13AF2D6C" w14:textId="516E22D6" w:rsidR="00AF5162" w:rsidRPr="0032681D" w:rsidRDefault="0057610A" w:rsidP="0064395A">
      <w:pPr>
        <w:spacing w:after="80"/>
        <w:jc w:val="both"/>
        <w:rPr>
          <w:b/>
          <w:bCs/>
        </w:rPr>
      </w:pPr>
      <w:r w:rsidRPr="0032681D">
        <w:rPr>
          <w:b/>
          <w:bCs/>
        </w:rPr>
        <w:lastRenderedPageBreak/>
        <w:t>Article 5</w:t>
      </w:r>
      <w:r w:rsidR="00AF5162" w:rsidRPr="0032681D">
        <w:rPr>
          <w:b/>
          <w:bCs/>
        </w:rPr>
        <w:t xml:space="preserve"> – Statutory Authority References</w:t>
      </w:r>
    </w:p>
    <w:p w14:paraId="4E8ACECC" w14:textId="35553343" w:rsidR="000D44B2" w:rsidRPr="000D44B2" w:rsidRDefault="001B5501" w:rsidP="0032681D">
      <w:pPr>
        <w:jc w:val="both"/>
      </w:pPr>
      <w:r w:rsidRPr="000D44B2">
        <w:t>T</w:t>
      </w:r>
      <w:r w:rsidRPr="000D44B2">
        <w:t>his amendment adds references to the New Hampshire state laws that allow the Town to have these zoning rules. Adding these references helps show where the rules come from and makes the ordinance stronger.</w:t>
      </w:r>
    </w:p>
    <w:p w14:paraId="2F24D653" w14:textId="77777777" w:rsidR="00333FFF" w:rsidRPr="000D44B2" w:rsidRDefault="00C46532" w:rsidP="0064395A">
      <w:pPr>
        <w:spacing w:after="80"/>
        <w:jc w:val="both"/>
      </w:pPr>
      <w:r w:rsidRPr="0032681D">
        <w:rPr>
          <w:b/>
          <w:bCs/>
        </w:rPr>
        <w:t>Article 6</w:t>
      </w:r>
      <w:r w:rsidR="00AF5162" w:rsidRPr="0032681D">
        <w:rPr>
          <w:b/>
          <w:bCs/>
        </w:rPr>
        <w:t xml:space="preserve"> – Personal Wireless Service Facilities</w:t>
      </w:r>
      <w:r w:rsidR="00AF5162" w:rsidRPr="000D44B2">
        <w:t xml:space="preserve"> (RSA 12-K:10 Requirements)</w:t>
      </w:r>
    </w:p>
    <w:p w14:paraId="45F01629" w14:textId="4730C5ED" w:rsidR="000D44B2" w:rsidRPr="000D44B2" w:rsidRDefault="00333FFF" w:rsidP="0032681D">
      <w:pPr>
        <w:jc w:val="both"/>
      </w:pPr>
      <w:r w:rsidRPr="000D44B2">
        <w:t>This amendment updates the rules for cell towers to match New Hampshire state law. If a company wants to add equipment to an existing tower or utility pole, the Town can only review it for building permit requirements and cannot require zoning or land-use approval. The amendment also adds the appeal process required by state law. The rules for building new towers are not changing.</w:t>
      </w:r>
    </w:p>
    <w:p w14:paraId="36CF7C69" w14:textId="3813B65D" w:rsidR="00C06839" w:rsidRPr="0032681D" w:rsidRDefault="00C06839" w:rsidP="0064395A">
      <w:pPr>
        <w:spacing w:after="80"/>
        <w:jc w:val="both"/>
        <w:rPr>
          <w:b/>
          <w:bCs/>
        </w:rPr>
      </w:pPr>
      <w:r w:rsidRPr="0032681D">
        <w:rPr>
          <w:b/>
          <w:bCs/>
        </w:rPr>
        <w:t>A</w:t>
      </w:r>
      <w:r w:rsidR="00C46532" w:rsidRPr="0032681D">
        <w:rPr>
          <w:b/>
          <w:bCs/>
        </w:rPr>
        <w:t>rticle 7</w:t>
      </w:r>
      <w:r w:rsidRPr="0032681D">
        <w:rPr>
          <w:b/>
          <w:bCs/>
        </w:rPr>
        <w:t xml:space="preserve"> – Commercial &amp; Industrial Noise</w:t>
      </w:r>
    </w:p>
    <w:p w14:paraId="5709A3E4" w14:textId="45C38DF5" w:rsidR="000D44B2" w:rsidRPr="000D44B2" w:rsidRDefault="009B3E34" w:rsidP="0032681D">
      <w:pPr>
        <w:jc w:val="both"/>
      </w:pPr>
      <w:r w:rsidRPr="000D44B2">
        <w:t>Th</w:t>
      </w:r>
      <w:r w:rsidR="009B2C6E" w:rsidRPr="000D44B2">
        <w:t>is</w:t>
      </w:r>
      <w:r w:rsidRPr="000D44B2">
        <w:t xml:space="preserve"> amendment is intended to protect public health, safety, and quality of life by setting clear, enforceable standards for excessive noise while providing consistent guidance for businesses, residents, and the Town when evaluating and addressing noise impacts. Existing commercial and industrial facilities are exempt until changes are made that would result in increased noise levels.</w:t>
      </w:r>
    </w:p>
    <w:p w14:paraId="2F40EF39" w14:textId="6BC6051E" w:rsidR="00AF5162" w:rsidRPr="0032681D" w:rsidRDefault="00C46532" w:rsidP="0064395A">
      <w:pPr>
        <w:spacing w:after="80"/>
        <w:jc w:val="both"/>
        <w:rPr>
          <w:b/>
          <w:bCs/>
        </w:rPr>
      </w:pPr>
      <w:r w:rsidRPr="0032681D">
        <w:rPr>
          <w:b/>
          <w:bCs/>
        </w:rPr>
        <w:t>Article 8</w:t>
      </w:r>
      <w:r w:rsidR="00AF5162" w:rsidRPr="0032681D">
        <w:rPr>
          <w:b/>
          <w:bCs/>
        </w:rPr>
        <w:t xml:space="preserve"> – Grammatical and Formatting Corrections</w:t>
      </w:r>
    </w:p>
    <w:p w14:paraId="0661C4CE" w14:textId="52C6ABA2" w:rsidR="000D44B2" w:rsidRPr="000D44B2" w:rsidRDefault="008E1135" w:rsidP="0032681D">
      <w:pPr>
        <w:jc w:val="both"/>
      </w:pPr>
      <w:r w:rsidRPr="000D44B2">
        <w:t>This amendment fixes small formatting, numbering, and grammar issues throughout the ordinance. These changes do not change the meaning of any rules.</w:t>
      </w:r>
    </w:p>
    <w:p w14:paraId="456A16B5" w14:textId="77777777" w:rsidR="006C7A67" w:rsidRPr="0032681D" w:rsidRDefault="008E1135" w:rsidP="0064395A">
      <w:pPr>
        <w:spacing w:after="80"/>
        <w:jc w:val="both"/>
        <w:rPr>
          <w:b/>
          <w:bCs/>
        </w:rPr>
      </w:pPr>
      <w:r w:rsidRPr="0032681D">
        <w:rPr>
          <w:b/>
          <w:bCs/>
        </w:rPr>
        <w:t>Article 9 – Impact Fee Ordinance</w:t>
      </w:r>
    </w:p>
    <w:p w14:paraId="3A594321" w14:textId="40B0760A" w:rsidR="008E1135" w:rsidRPr="000D44B2" w:rsidRDefault="00930DB5" w:rsidP="0032681D">
      <w:pPr>
        <w:jc w:val="both"/>
      </w:pPr>
      <w:r w:rsidRPr="000D44B2">
        <w:t xml:space="preserve">An impact fee ordinance is </w:t>
      </w:r>
      <w:r w:rsidR="006C7A67" w:rsidRPr="000D44B2">
        <w:t>a set of</w:t>
      </w:r>
      <w:r w:rsidR="006C7A67" w:rsidRPr="000D44B2">
        <w:t xml:space="preserve"> rule</w:t>
      </w:r>
      <w:r w:rsidR="006C7A67" w:rsidRPr="000D44B2">
        <w:t>s</w:t>
      </w:r>
      <w:r w:rsidR="006C7A67" w:rsidRPr="000D44B2">
        <w:t xml:space="preserve"> that allows a town to charge a fee when new development is built. </w:t>
      </w:r>
      <w:r w:rsidR="009D08DA" w:rsidRPr="000D44B2">
        <w:t>The money helps pay for things the town may need because of that new development, like roads, schools, or emergency services. The money can only be used for specific projects that are listed in the Town’s Capital Improvements Plan (CIP), which is the Town’s plan for major future projects.</w:t>
      </w:r>
      <w:r w:rsidR="000E6798" w:rsidRPr="000D44B2">
        <w:t xml:space="preserve"> </w:t>
      </w:r>
      <w:r w:rsidR="006C7A67" w:rsidRPr="000D44B2">
        <w:t>The goal is to make sure new growth helps cover the cost of the additional infrastructure it creates, instead of existing taxpayers paying for it.</w:t>
      </w:r>
    </w:p>
    <w:sectPr w:rsidR="008E1135" w:rsidRPr="000D44B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A1AF" w14:textId="77777777" w:rsidR="001B76D2" w:rsidRDefault="001B76D2" w:rsidP="0052423C">
      <w:pPr>
        <w:spacing w:after="0" w:line="240" w:lineRule="auto"/>
      </w:pPr>
      <w:r>
        <w:separator/>
      </w:r>
    </w:p>
  </w:endnote>
  <w:endnote w:type="continuationSeparator" w:id="0">
    <w:p w14:paraId="73A7CB1B" w14:textId="77777777" w:rsidR="001B76D2" w:rsidRDefault="001B76D2" w:rsidP="0052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0BE8" w14:textId="179EA748" w:rsidR="00C06839" w:rsidRDefault="00C06839" w:rsidP="00C06839">
    <w:pPr>
      <w:spacing w:after="120" w:line="240" w:lineRule="auto"/>
      <w:jc w:val="center"/>
    </w:pPr>
    <w:r>
      <w:t>**For a full copy of the Zoning Ordinance with amendments, visit the Town of Bethlehem’s 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BCF5" w14:textId="77777777" w:rsidR="001B76D2" w:rsidRDefault="001B76D2" w:rsidP="0052423C">
      <w:pPr>
        <w:spacing w:after="0" w:line="240" w:lineRule="auto"/>
      </w:pPr>
      <w:r>
        <w:separator/>
      </w:r>
    </w:p>
  </w:footnote>
  <w:footnote w:type="continuationSeparator" w:id="0">
    <w:p w14:paraId="6F170B79" w14:textId="77777777" w:rsidR="001B76D2" w:rsidRDefault="001B76D2" w:rsidP="00524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00C1" w14:textId="32D33481" w:rsidR="0052423C" w:rsidRPr="0052423C" w:rsidRDefault="0052423C" w:rsidP="008327FA">
    <w:pPr>
      <w:jc w:val="center"/>
      <w:rPr>
        <w:b/>
        <w:bCs/>
        <w:sz w:val="28"/>
        <w:szCs w:val="28"/>
      </w:rPr>
    </w:pPr>
    <w:r w:rsidRPr="0052423C">
      <w:rPr>
        <w:b/>
        <w:bCs/>
        <w:sz w:val="28"/>
        <w:szCs w:val="28"/>
      </w:rPr>
      <w:t xml:space="preserve">VOTERS’ GUIDE </w:t>
    </w:r>
    <w:r w:rsidR="008327FA">
      <w:rPr>
        <w:b/>
        <w:bCs/>
        <w:sz w:val="28"/>
        <w:szCs w:val="28"/>
      </w:rPr>
      <w:t>FOR 2026</w:t>
    </w:r>
    <w:r w:rsidRPr="0052423C">
      <w:rPr>
        <w:b/>
        <w:bCs/>
        <w:sz w:val="28"/>
        <w:szCs w:val="28"/>
      </w:rPr>
      <w:t xml:space="preserve"> ZONING ORDINANCE AMENDMENTS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331E1"/>
    <w:multiLevelType w:val="multilevel"/>
    <w:tmpl w:val="61E4E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961EC"/>
    <w:multiLevelType w:val="multilevel"/>
    <w:tmpl w:val="CA28D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A87D20"/>
    <w:multiLevelType w:val="hybridMultilevel"/>
    <w:tmpl w:val="58589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736495">
    <w:abstractNumId w:val="1"/>
  </w:num>
  <w:num w:numId="2" w16cid:durableId="786781513">
    <w:abstractNumId w:val="0"/>
  </w:num>
  <w:num w:numId="3" w16cid:durableId="69353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01"/>
    <w:rsid w:val="0000279B"/>
    <w:rsid w:val="00007D7D"/>
    <w:rsid w:val="00053175"/>
    <w:rsid w:val="00062668"/>
    <w:rsid w:val="000A3910"/>
    <w:rsid w:val="000D44B2"/>
    <w:rsid w:val="000D6744"/>
    <w:rsid w:val="000E6798"/>
    <w:rsid w:val="000E7D0D"/>
    <w:rsid w:val="001140DD"/>
    <w:rsid w:val="00136945"/>
    <w:rsid w:val="001B5501"/>
    <w:rsid w:val="001B6D7F"/>
    <w:rsid w:val="001B76D2"/>
    <w:rsid w:val="00216826"/>
    <w:rsid w:val="00295F87"/>
    <w:rsid w:val="002A1728"/>
    <w:rsid w:val="002D204E"/>
    <w:rsid w:val="002E1708"/>
    <w:rsid w:val="0031610A"/>
    <w:rsid w:val="0032681D"/>
    <w:rsid w:val="00333FFF"/>
    <w:rsid w:val="003A7922"/>
    <w:rsid w:val="003E1AC3"/>
    <w:rsid w:val="003E292F"/>
    <w:rsid w:val="0040004E"/>
    <w:rsid w:val="004129E0"/>
    <w:rsid w:val="00422346"/>
    <w:rsid w:val="004442DF"/>
    <w:rsid w:val="00444938"/>
    <w:rsid w:val="00452577"/>
    <w:rsid w:val="0045517C"/>
    <w:rsid w:val="004568DA"/>
    <w:rsid w:val="0047098A"/>
    <w:rsid w:val="00475E5C"/>
    <w:rsid w:val="00493E5B"/>
    <w:rsid w:val="00504365"/>
    <w:rsid w:val="005065F2"/>
    <w:rsid w:val="0052423C"/>
    <w:rsid w:val="00525E3F"/>
    <w:rsid w:val="00530C07"/>
    <w:rsid w:val="00531927"/>
    <w:rsid w:val="0057610A"/>
    <w:rsid w:val="005C31EF"/>
    <w:rsid w:val="006434F2"/>
    <w:rsid w:val="0064395A"/>
    <w:rsid w:val="00681C24"/>
    <w:rsid w:val="0069145B"/>
    <w:rsid w:val="006C7A67"/>
    <w:rsid w:val="007528EF"/>
    <w:rsid w:val="00763C74"/>
    <w:rsid w:val="007D76AF"/>
    <w:rsid w:val="00812AAE"/>
    <w:rsid w:val="008327FA"/>
    <w:rsid w:val="00843D00"/>
    <w:rsid w:val="00880718"/>
    <w:rsid w:val="00891B6B"/>
    <w:rsid w:val="008A0589"/>
    <w:rsid w:val="008B3D6B"/>
    <w:rsid w:val="008D7A23"/>
    <w:rsid w:val="008E1135"/>
    <w:rsid w:val="00930DB5"/>
    <w:rsid w:val="00936558"/>
    <w:rsid w:val="00983D89"/>
    <w:rsid w:val="009B2C6E"/>
    <w:rsid w:val="009B3E34"/>
    <w:rsid w:val="009D08DA"/>
    <w:rsid w:val="00A17592"/>
    <w:rsid w:val="00A54D2C"/>
    <w:rsid w:val="00A57399"/>
    <w:rsid w:val="00AC6C90"/>
    <w:rsid w:val="00AF5162"/>
    <w:rsid w:val="00B01293"/>
    <w:rsid w:val="00B07E60"/>
    <w:rsid w:val="00B15C4B"/>
    <w:rsid w:val="00B6536D"/>
    <w:rsid w:val="00BA544E"/>
    <w:rsid w:val="00C058EC"/>
    <w:rsid w:val="00C06839"/>
    <w:rsid w:val="00C1601C"/>
    <w:rsid w:val="00C46532"/>
    <w:rsid w:val="00D34C8E"/>
    <w:rsid w:val="00D660F2"/>
    <w:rsid w:val="00D81D4A"/>
    <w:rsid w:val="00DB5586"/>
    <w:rsid w:val="00DE7D07"/>
    <w:rsid w:val="00E01552"/>
    <w:rsid w:val="00E21D9B"/>
    <w:rsid w:val="00E24CF0"/>
    <w:rsid w:val="00EE08D9"/>
    <w:rsid w:val="00EE1464"/>
    <w:rsid w:val="00F04101"/>
    <w:rsid w:val="00F76F1C"/>
    <w:rsid w:val="00FA03E0"/>
    <w:rsid w:val="00FA6211"/>
    <w:rsid w:val="00FB4C98"/>
    <w:rsid w:val="00FE6126"/>
    <w:rsid w:val="00FF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CD38"/>
  <w15:chartTrackingRefBased/>
  <w15:docId w15:val="{6DF8F84A-7C1B-4932-8EE3-1B11A7B3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1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1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41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41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1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1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1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1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1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41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41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41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41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41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4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1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1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4101"/>
    <w:pPr>
      <w:spacing w:before="160"/>
      <w:jc w:val="center"/>
    </w:pPr>
    <w:rPr>
      <w:i/>
      <w:iCs/>
      <w:color w:val="404040" w:themeColor="text1" w:themeTint="BF"/>
    </w:rPr>
  </w:style>
  <w:style w:type="character" w:customStyle="1" w:styleId="QuoteChar">
    <w:name w:val="Quote Char"/>
    <w:basedOn w:val="DefaultParagraphFont"/>
    <w:link w:val="Quote"/>
    <w:uiPriority w:val="29"/>
    <w:rsid w:val="00F04101"/>
    <w:rPr>
      <w:i/>
      <w:iCs/>
      <w:color w:val="404040" w:themeColor="text1" w:themeTint="BF"/>
    </w:rPr>
  </w:style>
  <w:style w:type="paragraph" w:styleId="ListParagraph">
    <w:name w:val="List Paragraph"/>
    <w:basedOn w:val="Normal"/>
    <w:uiPriority w:val="34"/>
    <w:qFormat/>
    <w:rsid w:val="00F04101"/>
    <w:pPr>
      <w:ind w:left="720"/>
      <w:contextualSpacing/>
    </w:pPr>
  </w:style>
  <w:style w:type="character" w:styleId="IntenseEmphasis">
    <w:name w:val="Intense Emphasis"/>
    <w:basedOn w:val="DefaultParagraphFont"/>
    <w:uiPriority w:val="21"/>
    <w:qFormat/>
    <w:rsid w:val="00F04101"/>
    <w:rPr>
      <w:i/>
      <w:iCs/>
      <w:color w:val="0F4761" w:themeColor="accent1" w:themeShade="BF"/>
    </w:rPr>
  </w:style>
  <w:style w:type="paragraph" w:styleId="IntenseQuote">
    <w:name w:val="Intense Quote"/>
    <w:basedOn w:val="Normal"/>
    <w:next w:val="Normal"/>
    <w:link w:val="IntenseQuoteChar"/>
    <w:uiPriority w:val="30"/>
    <w:qFormat/>
    <w:rsid w:val="00F04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101"/>
    <w:rPr>
      <w:i/>
      <w:iCs/>
      <w:color w:val="0F4761" w:themeColor="accent1" w:themeShade="BF"/>
    </w:rPr>
  </w:style>
  <w:style w:type="character" w:styleId="IntenseReference">
    <w:name w:val="Intense Reference"/>
    <w:basedOn w:val="DefaultParagraphFont"/>
    <w:uiPriority w:val="32"/>
    <w:qFormat/>
    <w:rsid w:val="00F04101"/>
    <w:rPr>
      <w:b/>
      <w:bCs/>
      <w:smallCaps/>
      <w:color w:val="0F4761" w:themeColor="accent1" w:themeShade="BF"/>
      <w:spacing w:val="5"/>
    </w:rPr>
  </w:style>
  <w:style w:type="paragraph" w:styleId="Header">
    <w:name w:val="header"/>
    <w:basedOn w:val="Normal"/>
    <w:link w:val="HeaderChar"/>
    <w:uiPriority w:val="99"/>
    <w:unhideWhenUsed/>
    <w:rsid w:val="00524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23C"/>
  </w:style>
  <w:style w:type="paragraph" w:styleId="Footer">
    <w:name w:val="footer"/>
    <w:basedOn w:val="Normal"/>
    <w:link w:val="FooterChar"/>
    <w:uiPriority w:val="99"/>
    <w:unhideWhenUsed/>
    <w:rsid w:val="00524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c4977b-ba37-41ab-86fc-c4ad5083090d">
      <Terms xmlns="http://schemas.microsoft.com/office/infopath/2007/PartnerControls"/>
    </lcf76f155ced4ddcb4097134ff3c332f>
    <TaxCatchAll xmlns="660e9efb-c704-4768-a9c0-5656e50bd1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9AC5962193AF4F975AB7020140D3B4" ma:contentTypeVersion="19" ma:contentTypeDescription="Create a new document." ma:contentTypeScope="" ma:versionID="99f3600894c08ad5d32b3404eaac5e26">
  <xsd:schema xmlns:xsd="http://www.w3.org/2001/XMLSchema" xmlns:xs="http://www.w3.org/2001/XMLSchema" xmlns:p="http://schemas.microsoft.com/office/2006/metadata/properties" xmlns:ns2="07c4977b-ba37-41ab-86fc-c4ad5083090d" xmlns:ns3="660e9efb-c704-4768-a9c0-5656e50bd1ac" targetNamespace="http://schemas.microsoft.com/office/2006/metadata/properties" ma:root="true" ma:fieldsID="068b83772447006d6c75490051f020f1" ns2:_="" ns3:_="">
    <xsd:import namespace="07c4977b-ba37-41ab-86fc-c4ad5083090d"/>
    <xsd:import namespace="660e9efb-c704-4768-a9c0-5656e50bd1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4977b-ba37-41ab-86fc-c4ad50830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32b9e4-336a-409c-b08e-4de05099d9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e9efb-c704-4768-a9c0-5656e50bd1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caefc4-c6e3-435a-8f18-59b7facad6ff}" ma:internalName="TaxCatchAll" ma:showField="CatchAllData" ma:web="660e9efb-c704-4768-a9c0-5656e50bd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450B0-E830-4571-840D-0B111B522D2A}">
  <ds:schemaRefs>
    <ds:schemaRef ds:uri="http://schemas.microsoft.com/office/2006/metadata/properties"/>
    <ds:schemaRef ds:uri="http://schemas.microsoft.com/office/infopath/2007/PartnerControls"/>
    <ds:schemaRef ds:uri="07c4977b-ba37-41ab-86fc-c4ad5083090d"/>
    <ds:schemaRef ds:uri="660e9efb-c704-4768-a9c0-5656e50bd1ac"/>
  </ds:schemaRefs>
</ds:datastoreItem>
</file>

<file path=customXml/itemProps2.xml><?xml version="1.0" encoding="utf-8"?>
<ds:datastoreItem xmlns:ds="http://schemas.openxmlformats.org/officeDocument/2006/customXml" ds:itemID="{B85D0477-3FF3-4960-A251-3BEA96FE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4977b-ba37-41ab-86fc-c4ad5083090d"/>
    <ds:schemaRef ds:uri="660e9efb-c704-4768-a9c0-5656e50bd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900B1-97C1-46AA-9F68-DC33B8D23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600</Words>
  <Characters>3721</Characters>
  <Application>Microsoft Office Word</Application>
  <DocSecurity>0</DocSecurity>
  <Lines>77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Emerson</dc:creator>
  <cp:keywords/>
  <dc:description/>
  <cp:lastModifiedBy>Liz Emerson</cp:lastModifiedBy>
  <cp:revision>78</cp:revision>
  <cp:lastPrinted>2025-12-10T14:04:00Z</cp:lastPrinted>
  <dcterms:created xsi:type="dcterms:W3CDTF">2025-11-23T21:01:00Z</dcterms:created>
  <dcterms:modified xsi:type="dcterms:W3CDTF">2026-03-04T16:38:00Z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0x010100A49AC5962193AF4F975AB7020140D3B4</vt:lpwstr>
  </property>
  <property fmtid="{D5CDD505-2E9C-101B-9397-08002B2CF9AE}" pid="3" name="MediaServiceImageTags">
    <vt:lpwstr/>
  </property>
</Properties>
</file>